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color w:val="171717" w:themeColor="background2" w:themeShade="1A"/>
          <w:sz w:val="44"/>
          <w:szCs w:val="44"/>
        </w:rPr>
      </w:pPr>
      <w:r>
        <w:rPr>
          <w:rFonts w:hint="eastAsia" w:asciiTheme="majorEastAsia" w:hAnsiTheme="majorEastAsia" w:eastAsiaTheme="majorEastAsia" w:cstheme="majorEastAsia"/>
          <w:b/>
          <w:color w:val="171717" w:themeColor="background2" w:themeShade="1A"/>
          <w:sz w:val="44"/>
          <w:szCs w:val="44"/>
        </w:rPr>
        <w:t>青岛交通职业学校2018--2019学年度</w:t>
      </w:r>
    </w:p>
    <w:p>
      <w:pPr>
        <w:jc w:val="center"/>
        <w:rPr>
          <w:rFonts w:asciiTheme="majorEastAsia" w:hAnsiTheme="majorEastAsia" w:eastAsiaTheme="majorEastAsia" w:cstheme="majorEastAsia"/>
          <w:b/>
          <w:color w:val="171717" w:themeColor="background2" w:themeShade="1A"/>
          <w:sz w:val="44"/>
          <w:szCs w:val="44"/>
        </w:rPr>
      </w:pPr>
      <w:r>
        <w:rPr>
          <w:rFonts w:hint="eastAsia" w:asciiTheme="majorEastAsia" w:hAnsiTheme="majorEastAsia" w:eastAsiaTheme="majorEastAsia" w:cstheme="majorEastAsia"/>
          <w:b/>
          <w:color w:val="171717" w:themeColor="background2" w:themeShade="1A"/>
          <w:sz w:val="44"/>
          <w:szCs w:val="44"/>
        </w:rPr>
        <w:t>现代学校制度建设自评报告</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bCs/>
          <w:color w:val="171717" w:themeColor="background2" w:themeShade="1A"/>
          <w:szCs w:val="32"/>
        </w:rPr>
        <w:t>按照市教育局学校现代学校制度建设要求，我校认真贯彻落实《青岛交通职业学校现代学校制度建设实施方案》，</w:t>
      </w:r>
      <w:r>
        <w:rPr>
          <w:rFonts w:hint="eastAsia" w:ascii="仿宋" w:hAnsi="仿宋" w:eastAsia="仿宋" w:cs="仿宋"/>
          <w:color w:val="171717" w:themeColor="background2" w:themeShade="1A"/>
          <w:szCs w:val="32"/>
        </w:rPr>
        <w:t>以现代教育观为指导，以新型的政校关系为基础，学校已基本形成依法民主、自主管理，能够促进学生、教职工、学校、学校所在社区的协调和可持续发展的一套完整的制度体系。现将自评情况汇报如下：</w:t>
      </w:r>
    </w:p>
    <w:p>
      <w:pPr>
        <w:numPr>
          <w:ilvl w:val="0"/>
          <w:numId w:val="1"/>
        </w:numPr>
        <w:spacing w:line="500" w:lineRule="exact"/>
        <w:ind w:firstLine="672" w:firstLineChars="200"/>
        <w:rPr>
          <w:rFonts w:ascii="楷体" w:hAnsi="楷体" w:eastAsia="楷体" w:cs="楷体"/>
          <w:color w:val="171717" w:themeColor="background2" w:themeShade="1A"/>
          <w:szCs w:val="32"/>
        </w:rPr>
      </w:pPr>
      <w:r>
        <w:rPr>
          <w:rFonts w:hint="eastAsia" w:ascii="楷体" w:hAnsi="楷体" w:eastAsia="楷体" w:cs="楷体"/>
          <w:color w:val="171717" w:themeColor="background2" w:themeShade="1A"/>
          <w:szCs w:val="32"/>
        </w:rPr>
        <w:t>主要工作情况</w:t>
      </w:r>
    </w:p>
    <w:p>
      <w:pPr>
        <w:numPr>
          <w:ilvl w:val="0"/>
          <w:numId w:val="2"/>
        </w:numPr>
        <w:spacing w:line="500" w:lineRule="exact"/>
        <w:ind w:firstLine="506" w:firstLineChars="150"/>
        <w:rPr>
          <w:rFonts w:ascii="黑体" w:hAnsi="黑体" w:eastAsia="黑体" w:cs="黑体"/>
          <w:b/>
          <w:color w:val="171717" w:themeColor="background2" w:themeShade="1A"/>
          <w:szCs w:val="32"/>
        </w:rPr>
      </w:pPr>
      <w:r>
        <w:rPr>
          <w:rFonts w:hint="eastAsia" w:ascii="黑体" w:hAnsi="黑体" w:eastAsia="黑体" w:cs="黑体"/>
          <w:b/>
          <w:color w:val="171717" w:themeColor="background2" w:themeShade="1A"/>
          <w:szCs w:val="32"/>
        </w:rPr>
        <w:t>建设特色型的自主办学章程</w:t>
      </w:r>
    </w:p>
    <w:p>
      <w:pPr>
        <w:spacing w:line="500" w:lineRule="exact"/>
        <w:ind w:firstLine="672" w:firstLineChars="200"/>
        <w:rPr>
          <w:rFonts w:hint="eastAsia" w:ascii="仿宋" w:hAnsi="仿宋" w:eastAsia="仿宋" w:cs="仿宋"/>
          <w:b/>
          <w:color w:val="171717" w:themeColor="background2" w:themeShade="1A"/>
          <w:szCs w:val="32"/>
        </w:rPr>
      </w:pPr>
      <w:r>
        <w:rPr>
          <w:rFonts w:hint="eastAsia" w:ascii="仿宋" w:hAnsi="仿宋" w:eastAsia="仿宋" w:cs="仿宋"/>
          <w:color w:val="171717" w:themeColor="background2" w:themeShade="1A"/>
          <w:szCs w:val="32"/>
        </w:rPr>
        <w:t>依据国家、省、市教育改革与发展规划纲要及相关法律法规，结合经济社会发展学校历史与发展、特色与文化，制定学校《章程》，并依《章程》办学。</w:t>
      </w:r>
    </w:p>
    <w:p>
      <w:pPr>
        <w:numPr>
          <w:ilvl w:val="0"/>
          <w:numId w:val="2"/>
        </w:numPr>
        <w:spacing w:line="500" w:lineRule="exact"/>
        <w:ind w:firstLine="506" w:firstLineChars="150"/>
        <w:rPr>
          <w:rFonts w:ascii="黑体" w:hAnsi="黑体" w:eastAsia="黑体" w:cs="黑体"/>
          <w:b/>
          <w:color w:val="171717" w:themeColor="background2" w:themeShade="1A"/>
          <w:szCs w:val="32"/>
        </w:rPr>
      </w:pPr>
      <w:r>
        <w:rPr>
          <w:rFonts w:hint="eastAsia" w:ascii="黑体" w:hAnsi="黑体" w:eastAsia="黑体" w:cs="黑体"/>
          <w:b/>
          <w:color w:val="171717" w:themeColor="background2" w:themeShade="1A"/>
          <w:szCs w:val="32"/>
        </w:rPr>
        <w:t>构建多方参与的民主管理机制</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1.成立青岛交通职业学校校务委员会，制定工作章程。成立由行业企业、高职高校、专家学者、教师职员、学生家长、社区人士等方面的代表组成的学校校务委员会，参与学校管理、维护学生权益、完善学校管理、促进学校发展，进一步推进现代学校制度下校长负责制。该委员会对学校事务进行民主决策、民主管理、民主监督和咨询。</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2.完善教职工（代表）大会和教育工会制度。明确教职工（代表）大会主要职责，健全并落实好教职工（代表）大会的各项制度，保障广大教职工的知情权和参与决策权。</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3.健全校级、班级家长委员会制度。选举产生校级、班级家长委员会，拟定委员会章程，建立学校和家长委员会的协作机制。</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4.加强学生会建设。坚持民主原则，改革学生会选拔任用制度，指导各中学开展学生会干部竞选活动。切实发挥好学生会的群众性自治组织作用，尊重学生会的意见和建议，指导学生会开展好工作，实现学生的自我管理和自我服务。2019年6月成功举行第十一届学生代表大会。</w:t>
      </w:r>
    </w:p>
    <w:p>
      <w:pPr>
        <w:spacing w:line="500" w:lineRule="exact"/>
        <w:ind w:firstLine="672" w:firstLineChars="200"/>
        <w:rPr>
          <w:rFonts w:hint="eastAsia" w:ascii="仿宋" w:hAnsi="仿宋" w:eastAsia="仿宋" w:cs="仿宋"/>
          <w:b/>
          <w:color w:val="171717" w:themeColor="background2" w:themeShade="1A"/>
          <w:szCs w:val="32"/>
        </w:rPr>
      </w:pPr>
      <w:r>
        <w:rPr>
          <w:rFonts w:hint="eastAsia" w:ascii="仿宋" w:hAnsi="仿宋" w:eastAsia="仿宋" w:cs="仿宋"/>
          <w:color w:val="171717" w:themeColor="background2" w:themeShade="1A"/>
          <w:szCs w:val="32"/>
        </w:rPr>
        <w:t>5.成立学校专家委员会。对申报晋升职称的教师作出教学业务评价、综合评价；对申报职称晋档的教师作出教学业务评价；对竞聘上岗的教师作出教学业务评价；推荐评选参选省市各类比赛、荣誉称号人选；讨论制定并修改学校师德规范；弘扬师德模范的精神，批评不良师风。2017-2018学年度由专家委员会进行评优评先活动10次，推荐优秀人员39名，教职工对推荐人选满意。</w:t>
      </w:r>
    </w:p>
    <w:p>
      <w:pPr>
        <w:numPr>
          <w:ilvl w:val="0"/>
          <w:numId w:val="2"/>
        </w:numPr>
        <w:spacing w:line="500" w:lineRule="exact"/>
        <w:ind w:firstLine="506" w:firstLineChars="150"/>
        <w:rPr>
          <w:rFonts w:ascii="黑体" w:hAnsi="黑体" w:eastAsia="黑体" w:cs="黑体"/>
          <w:b/>
          <w:color w:val="171717" w:themeColor="background2" w:themeShade="1A"/>
          <w:szCs w:val="32"/>
        </w:rPr>
      </w:pPr>
      <w:r>
        <w:rPr>
          <w:rFonts w:hint="eastAsia" w:ascii="黑体" w:hAnsi="黑体" w:eastAsia="黑体" w:cs="黑体"/>
          <w:b/>
          <w:color w:val="171717" w:themeColor="background2" w:themeShade="1A"/>
          <w:szCs w:val="32"/>
        </w:rPr>
        <w:t>构建人本型的系统化规章制度</w:t>
      </w:r>
    </w:p>
    <w:p>
      <w:pPr>
        <w:spacing w:line="500" w:lineRule="exact"/>
        <w:ind w:firstLine="672" w:firstLineChars="200"/>
        <w:rPr>
          <w:rFonts w:hint="eastAsia" w:ascii="仿宋" w:hAnsi="仿宋" w:eastAsia="仿宋" w:cs="仿宋"/>
          <w:szCs w:val="32"/>
        </w:rPr>
      </w:pPr>
      <w:r>
        <w:rPr>
          <w:rFonts w:hint="eastAsia" w:ascii="仿宋" w:hAnsi="仿宋" w:eastAsia="仿宋" w:cs="仿宋"/>
          <w:color w:val="171717" w:themeColor="background2" w:themeShade="1A"/>
          <w:szCs w:val="32"/>
        </w:rPr>
        <w:t xml:space="preserve"> </w:t>
      </w:r>
      <w:r>
        <w:rPr>
          <w:rFonts w:hint="eastAsia" w:ascii="仿宋" w:hAnsi="仿宋" w:eastAsia="仿宋" w:cs="仿宋"/>
          <w:szCs w:val="32"/>
        </w:rPr>
        <w:t>1.为深入贯彻省委、市委开展“工作落实年”的部署要求，按照《青岛市教育局办公室关于在全市教育系统开展“基础管理规范年”活动的通知》（青教办字〔2019〕45号）的精神，制定了《青岛交通职业学校关于开展“基础管理规范年”活动实施方案》。</w:t>
      </w:r>
    </w:p>
    <w:p>
      <w:pPr>
        <w:spacing w:line="500" w:lineRule="exact"/>
        <w:ind w:firstLine="672" w:firstLineChars="200"/>
        <w:rPr>
          <w:rFonts w:hint="eastAsia" w:ascii="仿宋" w:hAnsi="仿宋" w:eastAsia="仿宋" w:cs="仿宋"/>
          <w:szCs w:val="32"/>
        </w:rPr>
      </w:pPr>
      <w:r>
        <w:rPr>
          <w:rFonts w:hint="eastAsia" w:ascii="仿宋" w:hAnsi="仿宋" w:eastAsia="仿宋" w:cs="仿宋"/>
          <w:szCs w:val="32"/>
        </w:rPr>
        <w:t xml:space="preserve"> 2.按照市教育局文件精神和新时代管理制度建设要求，结合学校实际，2019年6月学校对现有党务（10项）、行政（26项）、德育（16项）、教学（18项）、总务（12项）、招生实习（8项）、工会（11项）、团委（10项）8类111项规章管理制度进行全面梳理，该废掉的废掉、该修订的修订、该完善的完善、该新建的建立，确保各项教育工作有规可依、有章可循。</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szCs w:val="32"/>
        </w:rPr>
        <w:t xml:space="preserve"> 3.为全面贯彻落实新时代教师队伍建设改革意见和全国教育大会精神，建立激励型的学校内部分配制度。2019年6月学校根据《关于印发〈全市中小学校“三定一聘”工作指导意见〉的通知》，重新修订《青岛交通职业学校绩效实施方案》，</w:t>
      </w:r>
      <w:r>
        <w:rPr>
          <w:rFonts w:hint="eastAsia" w:ascii="仿宋" w:hAnsi="仿宋" w:eastAsia="仿宋" w:cs="仿宋"/>
          <w:szCs w:val="32"/>
        </w:rPr>
        <w:t>有效落实岗位能上能下、人员能进能出的人事管理体制，激发教职工工作积极性，提高人力资源使用效益，促进现代学校制度建设，切实提升办学质量和水平。</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4.形成较为完善度学校教职工考核制度。如：《青岛交通职业学校干部工作考核办法》、《青岛交通职业学校职工工作考核办法》、《毕业实习管理教师工作考核办法》、《教师工作考核办法》。</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5.建立竞争型的学校内部人事制度。如，《青岛交通职业学校专业技术岗位聘任办法》、《青岛交通职业学校请假销假制度》。</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6.建立民主参与型的学校领导制度，实行校务会议管理制度，完善教职工代表大会制度，实行校务、党务公开制度，建立民意表达机制，完善科学民主决策机制。制定《青岛交通职业学校支部委员会议事规则》、《青岛交通职业学校党务公开制度》、《学校关于落实两个责任的实施细则》、《青岛交通职业学校教职工代表大会制度》、《青岛交通职业学校权益保障制度》。</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7.形成较为完善度可持续发展型的校本培训制度。学校全面实施“名师、名专业”双名牌战略，科学制定教师发展规划，为教师职业生涯的发展搭建平台，从教育、教学、教研等多维度规划教师的职业生涯，目标明确、措施得力。“6”即面向不同年龄段、不同层面的教师开展教师培训“六大工程”——青年教师成长工程（面向35岁以下青年教师，主要任务是打基础）、中青年教师发展工程（面向35岁—45岁教师，主要任务是建特色）、专业教师专业素质提高工程（面向专业教师，主要任务是提技能）、名师工程（主要任务是树典型、传帮带）、班主任培训工程和中层干部培训工程。为此学校还出台了“名师评选条例”、建立了名师库及后备名师库，通过设立技能大师工作室，培养有教育思想和教学风格的优秀骨干教师，打造一支理念先进、视野开阔、能力卓越的高素质教师队伍。“2”即“两大关注”，一是关注教师身心健康，通过教师社团、教工文化沙龙、户外体育活动等形式，调整教师心态，改善教师身体状况，使教师以良好的身心状态投入工作；二是关注教师师德建设，注重树立典型，通过教师节表彰等形式，激发广大教职员工的教育使命感和责任感。</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学校各个不同层面的教师业务能力均有了较大提升，2018-2019年度，张炜、梁泽鹏等先后承担省职业教育技艺技能传承创新平台主持人、省职业教育名师工作室主持人、青岛市职教名师工作室主持人等，蔡海涛入选第二届山东省职业院校青年技能名师培养工程；姜琳、左效波入选第二批青岛名师；程璐、吕静、左效波、李佳璠被评为2019年青岛市教学能手；王玉兰被评为青岛市首批职业学校名班主任工作室主持人；刘立民指导全国职业院校技能大赛汽车车身修复比赛获二等奖；刘美林指导全国职业院校技能大赛汽车商务比赛获二等奖；陈斯媛获“创新杯”全国中等职业学校体育与健康课程教师信息化教学设计和说课比赛中一等奖；郭燕获全国教育教学信息化教学案例比赛二等奖；郭燕、刘媛媛、陈斯媛获省信息化大赛教学课程案例比赛二等奖；王丽华指导2019第八届全国全民健身操舞大赛</w:t>
      </w:r>
      <w:r>
        <w:rPr>
          <w:rFonts w:hint="eastAsia" w:ascii="仿宋" w:hAnsi="仿宋" w:eastAsia="仿宋" w:cs="仿宋"/>
          <w:color w:val="171717" w:themeColor="background2" w:themeShade="1A"/>
          <w:szCs w:val="32"/>
        </w:rPr>
        <w:t>、山东省第九届全民健身运动会</w:t>
      </w:r>
      <w:r>
        <w:rPr>
          <w:rFonts w:hint="eastAsia" w:ascii="仿宋" w:hAnsi="仿宋" w:eastAsia="仿宋" w:cs="仿宋"/>
          <w:color w:val="171717" w:themeColor="background2" w:themeShade="1A"/>
          <w:szCs w:val="32"/>
        </w:rPr>
        <w:t>，健身操</w:t>
      </w:r>
      <w:r>
        <w:rPr>
          <w:rFonts w:hint="eastAsia" w:ascii="仿宋" w:hAnsi="仿宋" w:eastAsia="仿宋" w:cs="仿宋"/>
          <w:color w:val="171717" w:themeColor="background2" w:themeShade="1A"/>
          <w:szCs w:val="32"/>
        </w:rPr>
        <w:t>、提高套</w:t>
      </w:r>
      <w:r>
        <w:rPr>
          <w:rFonts w:hint="eastAsia" w:ascii="仿宋" w:hAnsi="仿宋" w:eastAsia="仿宋" w:cs="仿宋"/>
          <w:color w:val="171717" w:themeColor="background2" w:themeShade="1A"/>
          <w:szCs w:val="32"/>
        </w:rPr>
        <w:t>分别获特等奖，基础套</w:t>
      </w:r>
      <w:r>
        <w:rPr>
          <w:rFonts w:hint="eastAsia" w:ascii="仿宋" w:hAnsi="仿宋" w:eastAsia="仿宋" w:cs="仿宋"/>
          <w:color w:val="171717" w:themeColor="background2" w:themeShade="1A"/>
          <w:szCs w:val="32"/>
        </w:rPr>
        <w:t>获一等奖，指导2018年青岛市健美操比赛</w:t>
      </w:r>
      <w:r>
        <w:rPr>
          <w:rFonts w:hint="eastAsia" w:ascii="仿宋" w:hAnsi="仿宋" w:eastAsia="仿宋" w:cs="仿宋"/>
          <w:color w:val="171717" w:themeColor="background2" w:themeShade="1A"/>
          <w:szCs w:val="32"/>
        </w:rPr>
        <w:t>获一等奖；李佳璠获青岛市优质课评选一等奖；刘媛媛</w:t>
      </w:r>
      <w:r>
        <w:rPr>
          <w:rFonts w:hint="eastAsia" w:ascii="仿宋" w:hAnsi="仿宋" w:eastAsia="仿宋" w:cs="仿宋"/>
          <w:color w:val="171717" w:themeColor="background2" w:themeShade="1A"/>
          <w:szCs w:val="32"/>
        </w:rPr>
        <w:t>、左效波主持的精品课程入选2019年青岛市中小学、幼儿园精品校（园）本课程</w:t>
      </w:r>
      <w:r>
        <w:rPr>
          <w:rFonts w:hint="eastAsia" w:ascii="仿宋" w:hAnsi="仿宋" w:eastAsia="仿宋" w:cs="仿宋"/>
          <w:color w:val="171717" w:themeColor="background2" w:themeShade="1A"/>
          <w:szCs w:val="32"/>
        </w:rPr>
        <w:t>；张倩、胡云超、陈思媛、李雁、姜燕、黄静等老师获青岛市“一师一优课、一课一名师”比赛一等奖。优秀的教师团队已然形成，成为我校全方位健康发展的有力保障。</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2018-2019学年度共组织教职工集中培训6次，覆盖教职工近550人/次；组织教职工个性化培训150人/次，受益面达到教职工总数的85%。</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 xml:space="preserve"> 8.推进和深化德育工作。学校以“立德树人”为根本任务，围绕“唤醒心灵”德育品牌，经过多年工作实践探索，逐步形成了自己的德育工作特色，打造形成了“一二三四五”德育工作体系，即构建一个德育网络（学校、家庭、社会三位一体德育体系）、重点建设两支队伍（德育管理队伍和家长队伍）、设立三大节日（技能节、体育节、艺术节）、开展四项活动（情满校园、万名教师访万家、一二三职业体验活动、社团创客培训）、着力实施五大主题教育（安全教育、心理教育、法制教育、传统文化教育、核心价值观教育）。</w:t>
      </w:r>
      <w:r>
        <w:rPr>
          <w:rFonts w:hint="eastAsia" w:ascii="仿宋" w:hAnsi="仿宋" w:eastAsia="仿宋" w:cs="仿宋"/>
          <w:color w:val="171717" w:themeColor="background2" w:themeShade="1A"/>
          <w:szCs w:val="32"/>
        </w:rPr>
        <w:t>深入实施德育课程一体化改革，建构德育课程、专业课程、公共基础课程和实践活动课程“四位一体”格局，统筹实施行为习惯养成教育、心理健康教育、家庭教育和社会实践教育，构建符合学校特点的德育框架。采取组织班主任上岗培训、德育沙龙、班主任例会、设立班主任办公室，德育集备等多项措施推进班主任队伍建设。</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学生心理健康教育始终是学校教育的重点。学校与向日葵心理健康研究院合作，加强“交通心驿站”心理咨询室建设，个案辅导与集体教育相结合，心理健康教育取得实效；实行全员育人卡制度，让教师与学生结对，成为学生成长的导师；做好家长学校和家长委员会工作，继续开展了校本课程和相关课题研究；继续与法院、派出所、劳模和青春导师紧密合作，邀请企业领导、优秀毕业生等为每个班级配备了“青春导师”，多次组织了“法律讲堂”、“劳模工匠进校园”等活动，进一步发挥了学校、家庭、社会三位一体的德育教育优势。</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组织建立舞蹈、健美操、街舞、中国鼓、口琴、曲艺（快板）、沙画、京剧、传统民间艺术、朗诵、合唱、辩论、校园剧、无人机、智能机器人、武术、跆拳道、篮球、定格动画等20个社团，确保每人参与一个社团。</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广泛开展“职教义工”志愿服务活动。以“爱车先锋”志愿者服务品牌为引领，增强服务社会意识，丰富职业体验。各班级按照“七彩心”职教义工服务要求，开展具有专业特色和班级特点的服务活动。自去年年7月至今，全校组织开展职教义工服务活动41次，参与1260人/次。</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9.以技能大赛和信息化为抓手，引领学校教学改革。</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每年学校都代表青岛市参加全国中职院校汽车运用与维修技能大赛，目前已经累计获得9金21银18铜。技能大赛促进了学校汽车大类专业的教学内容与企业生产标准有机融合，实现了学校教学与企业需求的有效对接。此外，技能大赛还促进了学校专业教学模式的创新，由传统的理论教学转向重实践教学，较大地提高了学生的动手操作水平，也为学生的实习就业奠定了很好的基础。已经正式出版的由孙青老师主编的《汽车定期维护作业》、张炜老师主编的《汽车车身电气系统拆装》、梁泽鹏老师主编的《电控发动机故障诊断与排除》等教材就是依据全国职业院校技能大赛相关项目编写完成的，还有《汽车钣金》《汽车空调》《车身涂装》等多门校本教材已基本完成试用和修订，即将正式出版。这些与国赛及实际工作要求相结合的教材在实际教学中发挥了重要作用，通过赛教融合，学生可以独立完成4S店的大多数汽车维护工作，教学效果得到企业的认可，提高了就业竞争力，真正实现了“以赛促学，以赛促教”的要求。</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10.开放办学，搭建人才成长立交桥。</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为满足企业对不同层次技术人才的需求及学生升学深造的需要，学校积极搭建人才成长立交桥，目前，除中专专业以外，还与天津职业技术师范大学、青岛理工大学联合开办“3+4”贯通分段培养本科汽车维修工程教育专业，学生毕业后将成为拥有“本科学历+技师职业资格证书+教师资格证书+计算机等级证书”的特色人才，既可成为从事理论和实践教学的“双师型”专业教师，也可从事管理或技术服务的高技能应用型人才；与山东交通职业学院携手，开办“三二连读”大专层次汽车运用与维修技术、汽车营销与服务、汽车车身修复技术3个专业，学生毕业后拥有“大专学历+高级工职业资格证+二手车评估师+计算机等级证书”；与滨州职业学院联合开办“三二连读”航海技术专业，学生除在中专阶段继续游艇帆船制造、维修、海上休闲运动等专业技能课程外，升入大专后将加强远洋航运等专业知识、技能的学习，拓宽学生就业面，使学生的就业竞争力得到提升。</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11.完善了实习与就业管理工作制度。制定了《青岛交通职业学校实习管理制度》、《青岛交通职业学校实习管理教师工作考核办法》。</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学校还以实习就业洽谈会为契机，大力宣传刚刚出台的《职业学校校企合作促进办法》等国家最新政策和文件精神，密切与企业的联系，发挥企业在实施职业教育中的重要办学主体作用，丰富校企合作内涵，探索合作新形式，努力形成产教融合、校企合作、工学结合、知行合一的共同育人机制。</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12. 规范招生管理，确保招生工作安全。一是切实履行招生考试主体责任，确保招生政策宣传到位，招生全过程监管到位，招生违规违纪行为防范查处到位，招生突发事件和重大舆情处置到位。二是严格落实招生政策规定，严格执行招生计划管理，严格规范招生章程的制订和发布。三是推行“阳光招生”，按要求公开招生政策、招生范围、招生程序、招生条件、服务电话、新生名单等，主动接受社会监督。</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13.规范办学行为，确保良好教育教学秩序。一是加强教育法律法规、政策文件的学习，编制学习手册，进行学习测试，提高中层以上干部、教职工依法治教、依法办学、依法治校意识，增强依法治教能力。二是按照规定开齐开足课程和作业布置，规范商业活动进校园等。三是加强实习安全管理，严格落实实习组织、管理、学生权利保障等规定，坚决杜绝无协议实习、无故延长实习时间、实习岗位与其所学专业面向的岗位群不一致等现象。四是规范考试管理，做好组织实施、安全保密工作，严格把控试卷命制质量关，严格落实监考职责，严肃考纪，提高应急处置能力与水平，保证试卷命题、印刷、封装、存放、保密等各环节没有疏漏，确保考试科学、规范、安全、公正，提高考试公信力。</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14.健全现代学校财务管理制度。贯彻执行国家有关法律法规和财务制度，全面规范财务行为，加强对财务管理和预算管理，保障教育经费正常运作，提高资金使用效益。</w:t>
      </w:r>
    </w:p>
    <w:p>
      <w:pPr>
        <w:spacing w:line="500" w:lineRule="exact"/>
        <w:ind w:firstLine="672" w:firstLineChars="200"/>
        <w:rPr>
          <w:rFonts w:hint="eastAsia" w:ascii="仿宋" w:hAnsi="仿宋" w:eastAsia="仿宋" w:cs="仿宋"/>
          <w:color w:val="171717" w:themeColor="background2" w:themeShade="1A"/>
          <w:szCs w:val="32"/>
        </w:rPr>
      </w:pPr>
      <w:r>
        <w:rPr>
          <w:rFonts w:hint="eastAsia" w:ascii="仿宋" w:hAnsi="仿宋" w:eastAsia="仿宋" w:cs="仿宋"/>
          <w:color w:val="171717" w:themeColor="background2" w:themeShade="1A"/>
          <w:szCs w:val="32"/>
        </w:rPr>
        <w:t>15. 加强安全管理，确保学校和师生安全。科学编制、优化完善各类应急预案。对学校已有或适应新时代需要新建的所有应急预案进行全面梳理，明确突发事件的内容清单、责任部门、一般程序、处置预案、救援善后和舆情研判、应急处理等工作要求，提高应急预案的完备性、普及性和可操作性。</w:t>
      </w:r>
    </w:p>
    <w:p>
      <w:pPr>
        <w:spacing w:line="500" w:lineRule="exact"/>
        <w:ind w:firstLine="675" w:firstLineChars="200"/>
        <w:rPr>
          <w:rFonts w:ascii="黑体" w:hAnsi="黑体" w:eastAsia="黑体" w:cs="黑体"/>
          <w:b/>
          <w:color w:val="171717" w:themeColor="background2" w:themeShade="1A"/>
          <w:szCs w:val="32"/>
        </w:rPr>
      </w:pPr>
      <w:r>
        <w:rPr>
          <w:rFonts w:hint="eastAsia" w:ascii="黑体" w:hAnsi="黑体" w:eastAsia="黑体" w:cs="黑体"/>
          <w:b/>
          <w:color w:val="171717" w:themeColor="background2" w:themeShade="1A"/>
          <w:szCs w:val="32"/>
        </w:rPr>
        <w:t>四、构建科学有效的监督评价机制</w:t>
      </w:r>
    </w:p>
    <w:p>
      <w:pPr>
        <w:spacing w:line="500" w:lineRule="exact"/>
        <w:ind w:firstLine="672" w:firstLineChars="200"/>
        <w:rPr>
          <w:rFonts w:ascii="仿宋_GB2312" w:eastAsia="仿宋_GB2312"/>
          <w:color w:val="171717" w:themeColor="background2" w:themeShade="1A"/>
          <w:szCs w:val="32"/>
        </w:rPr>
      </w:pPr>
      <w:r>
        <w:rPr>
          <w:rFonts w:hint="eastAsia" w:ascii="仿宋_GB2312" w:eastAsia="仿宋_GB2312"/>
          <w:color w:val="171717" w:themeColor="background2" w:themeShade="1A"/>
          <w:szCs w:val="32"/>
        </w:rPr>
        <w:t>1.积极利用社会力量参与学校管理、监督和评价。定期邀请知名人士、专家学者、家长代表、行业企业参与学校的教育教学管理，提高教育教学质量和教育活力。本学年组织四次</w:t>
      </w:r>
      <w:r>
        <w:rPr>
          <w:rFonts w:hint="eastAsia" w:ascii="仿宋" w:hAnsi="仿宋" w:eastAsia="仿宋" w:cs="仿宋"/>
          <w:color w:val="171717" w:themeColor="background2" w:themeShade="1A"/>
          <w:szCs w:val="32"/>
        </w:rPr>
        <w:t>家校开放日活动，举行家长委员会工作会议、组织膳食委员会工作会议；组织了家长推门听课、巡查校园、观摩广播操和跑操活动、午餐试吃、家长座谈等五项活动。学生家长对学校十分满意，认为学校新学期开局良好，势头强劲，举措有力，管理严格到位。学校严格有效的管理超出了家长的想象，孩子在这样的学校上学，家长放心满意。</w:t>
      </w:r>
    </w:p>
    <w:p>
      <w:pPr>
        <w:spacing w:line="500" w:lineRule="exact"/>
        <w:ind w:firstLine="672" w:firstLineChars="200"/>
        <w:rPr>
          <w:rFonts w:ascii="黑体" w:hAnsi="黑体" w:eastAsia="黑体" w:cs="黑体"/>
          <w:b/>
          <w:color w:val="171717" w:themeColor="background2" w:themeShade="1A"/>
          <w:szCs w:val="32"/>
        </w:rPr>
      </w:pPr>
      <w:r>
        <w:rPr>
          <w:rFonts w:hint="eastAsia" w:ascii="仿宋_GB2312" w:eastAsia="仿宋_GB2312"/>
          <w:color w:val="171717" w:themeColor="background2" w:themeShade="1A"/>
          <w:szCs w:val="32"/>
        </w:rPr>
        <w:t>2.完善校务公开制度。制定《青岛交通职业学校党务校务公开制度》，2018-2019学年度共公开党务、校务信息4次。</w:t>
      </w:r>
    </w:p>
    <w:p>
      <w:pPr>
        <w:spacing w:line="500" w:lineRule="exact"/>
        <w:rPr>
          <w:rFonts w:ascii="黑体" w:hAnsi="黑体" w:eastAsia="黑体" w:cs="黑体"/>
          <w:b/>
          <w:color w:val="171717" w:themeColor="background2" w:themeShade="1A"/>
          <w:szCs w:val="32"/>
        </w:rPr>
      </w:pPr>
      <w:r>
        <w:rPr>
          <w:rFonts w:hint="eastAsia" w:ascii="黑体" w:hAnsi="黑体" w:eastAsia="黑体" w:cs="黑体"/>
          <w:b/>
          <w:color w:val="171717" w:themeColor="background2" w:themeShade="1A"/>
          <w:szCs w:val="32"/>
        </w:rPr>
        <w:t xml:space="preserve">    五、构建和谐高效、深度合作的外部关系</w:t>
      </w:r>
    </w:p>
    <w:p>
      <w:pPr>
        <w:spacing w:line="500" w:lineRule="exact"/>
        <w:ind w:firstLine="672" w:firstLineChars="200"/>
        <w:rPr>
          <w:rFonts w:ascii="仿宋_GB2312" w:eastAsia="仿宋_GB2312"/>
          <w:color w:val="171717" w:themeColor="background2" w:themeShade="1A"/>
          <w:szCs w:val="32"/>
        </w:rPr>
      </w:pPr>
      <w:r>
        <w:rPr>
          <w:rFonts w:hint="eastAsia" w:ascii="仿宋_GB2312" w:eastAsia="仿宋_GB2312"/>
          <w:color w:val="171717" w:themeColor="background2" w:themeShade="1A"/>
          <w:szCs w:val="32"/>
        </w:rPr>
        <w:t>建立和完善学校、家庭、企业（行业）和社会四位一体的教育体系是现代学校制度的重要内容。</w:t>
      </w:r>
    </w:p>
    <w:p>
      <w:pPr>
        <w:spacing w:line="500" w:lineRule="exact"/>
        <w:ind w:firstLine="672" w:firstLineChars="200"/>
        <w:rPr>
          <w:rFonts w:ascii="仿宋_GB2312" w:eastAsia="仿宋_GB2312"/>
          <w:color w:val="171717" w:themeColor="background2" w:themeShade="1A"/>
          <w:szCs w:val="32"/>
        </w:rPr>
      </w:pPr>
      <w:r>
        <w:rPr>
          <w:rFonts w:hint="eastAsia" w:ascii="仿宋_GB2312" w:eastAsia="仿宋_GB2312"/>
          <w:color w:val="171717" w:themeColor="background2" w:themeShade="1A"/>
          <w:szCs w:val="32"/>
        </w:rPr>
        <w:t>1.建立家长委员会。通过建立家长委员会，定期召开家长委员会会议，建立电话、微信、qq和书面报告等形式的沟通渠道，搭起家长和学校交流的桥梁和平台，促进家校沟通合作，向家长宣传教育方针政策和教育方法，让家长充分参与学校民主管理，畅通家长对学校的知情权、评议权、参与权和监督权，促进家校和谐。</w:t>
      </w:r>
    </w:p>
    <w:p>
      <w:pPr>
        <w:spacing w:line="500" w:lineRule="exact"/>
        <w:ind w:firstLine="672" w:firstLineChars="200"/>
        <w:rPr>
          <w:rFonts w:ascii="仿宋_GB2312" w:eastAsia="仿宋_GB2312"/>
          <w:color w:val="171717" w:themeColor="background2" w:themeShade="1A"/>
          <w:szCs w:val="32"/>
        </w:rPr>
      </w:pPr>
      <w:r>
        <w:rPr>
          <w:rFonts w:hint="eastAsia" w:ascii="仿宋_GB2312" w:eastAsia="仿宋_GB2312"/>
          <w:color w:val="171717" w:themeColor="background2" w:themeShade="1A"/>
          <w:szCs w:val="32"/>
        </w:rPr>
        <w:t>2.学校作为青岛市现代学徒制的试点学校，积极探索现代学徒制教学模式，分别与青岛成达集团、众和集团在汽车运用与维修和汽车整车与配件营销专业开展现代学徒制试点工作，拟定了实施细则，确定了联合招生、联合培养、双主体育人等试点实施原则。今年上半年，校企双方再次共同组织了学生赴企业工学交替学习，企业为每名试点学生安排一名师傅专门指导，试点结束后组织了由企业领导、职教处领导、校企导师、家长等参与的总结会，对在见习中表现优秀的见习生进行了表彰，导师代表分别从专业技能、工作态度、职业素养、责任意识、职业发展等方面对同学们在见习期间的表现进行了点评，对同学们以后的发展提出了意见和建议，为试点工作的顺利完成及学生职业生涯的发展奠定了基础。</w:t>
      </w:r>
    </w:p>
    <w:p>
      <w:pPr>
        <w:spacing w:line="500" w:lineRule="exact"/>
        <w:ind w:firstLine="672" w:firstLineChars="200"/>
        <w:rPr>
          <w:rFonts w:ascii="仿宋_GB2312" w:eastAsia="仿宋_GB2312"/>
          <w:color w:val="171717" w:themeColor="background2" w:themeShade="1A"/>
          <w:szCs w:val="32"/>
        </w:rPr>
      </w:pPr>
      <w:r>
        <w:rPr>
          <w:rFonts w:hint="eastAsia" w:ascii="仿宋_GB2312" w:eastAsia="仿宋_GB2312"/>
          <w:color w:val="171717" w:themeColor="background2" w:themeShade="1A"/>
          <w:szCs w:val="32"/>
        </w:rPr>
        <w:t>3.为更好地了解行业企业发展及对技能人才的需求，更好地引进社会力量办学，上半年学校加强了企业走访调研工作，仅学校领导就先后到安利捷丰田、成泰达福特、东联、沃尔沃、玛泽润游艇、天泽游艇俱乐部、盛世飞扬游艇俱乐部、青岛市游艇帆船协会、中天汽配、鸿升伟业等十余家企业调研。特别是游艇帆船专业，通过调研与交流，在校企合作方面有了质的飞跃：学校成为青岛市游艇帆船协会副会长单位，为校企合作提供了更大更专业的平台；争取了中德合资企业玛泽润游艇，在国内有较大影响力的游艇帆船俱乐部天泽游艇俱乐部、盛世飞扬游艇俱乐部对学校游艇帆船专业建设的大力支持，达成了合作意向，为学校游艇帆船专业的快速发展创造了条件。</w:t>
      </w:r>
    </w:p>
    <w:p>
      <w:pPr>
        <w:spacing w:line="500" w:lineRule="exact"/>
        <w:ind w:firstLine="672" w:firstLineChars="200"/>
        <w:rPr>
          <w:rFonts w:ascii="仿宋_GB2312" w:eastAsia="仿宋_GB2312"/>
          <w:color w:val="171717" w:themeColor="background2" w:themeShade="1A"/>
          <w:szCs w:val="32"/>
        </w:rPr>
      </w:pPr>
      <w:r>
        <w:rPr>
          <w:rFonts w:hint="eastAsia" w:ascii="仿宋_GB2312" w:eastAsia="仿宋_GB2312"/>
          <w:color w:val="171717" w:themeColor="background2" w:themeShade="1A"/>
          <w:szCs w:val="32"/>
        </w:rPr>
        <w:t>4.</w:t>
      </w:r>
      <w:r>
        <w:rPr>
          <w:rFonts w:hint="eastAsia" w:ascii="仿宋_GB2312" w:hAnsi="微软雅黑" w:eastAsia="仿宋_GB2312"/>
          <w:color w:val="171717" w:themeColor="background2" w:themeShade="1A"/>
          <w:szCs w:val="32"/>
        </w:rPr>
        <w:t>开放办学不仅仅体现在与高校、企业的强强联合上，学校还无私地向兄弟学校分享自己在专业建设及内涵发展等方面的经验，与兄弟学校携手共同提高。今年以来，先后有莱西职教中心、烟台船舶工程工业学校、寿光职教中心、贵州省安顺市民族中等职业学校、安顺市城市服务职业学校等十余所兄弟院校到校交流学习。特别是学校对口帮扶的安顺市两所学校，学校秉持“授人以鱼不如授人以渔”的帮扶原则，投入近10万元先后两次邀请邀请两所学校的师生到校进行技能培训，增强两所学校的造血功能。两所学校在四月份的贵州省赛中取得了优异成绩：安顺城市服务职业学校获3个二等奖、3个三等奖；安顺民族中等职业学校获2个三等奖；均实现了历史性突破！</w:t>
      </w:r>
    </w:p>
    <w:p>
      <w:pPr>
        <w:spacing w:line="500" w:lineRule="exact"/>
        <w:ind w:firstLine="672" w:firstLineChars="200"/>
        <w:rPr>
          <w:rFonts w:ascii="仿宋_GB2312" w:eastAsia="仿宋_GB2312"/>
          <w:color w:val="171717" w:themeColor="background2" w:themeShade="1A"/>
          <w:szCs w:val="32"/>
        </w:rPr>
      </w:pPr>
      <w:r>
        <w:rPr>
          <w:rFonts w:hint="eastAsia" w:ascii="仿宋_GB2312" w:eastAsia="仿宋_GB2312"/>
          <w:color w:val="171717" w:themeColor="background2" w:themeShade="1A"/>
          <w:szCs w:val="32"/>
        </w:rPr>
        <w:t>5.与社会团体、行业企业、军警社区开展共建活动。如与部队公安、行业协会、爱国主义教育基地、热心教育的企业以及兄弟学校建立友好关系并开展活动。</w:t>
      </w:r>
      <w:r>
        <w:rPr>
          <w:rFonts w:hint="eastAsia" w:ascii="仿宋_GB2312" w:hAnsi="微软雅黑" w:eastAsia="仿宋_GB2312"/>
          <w:color w:val="171717" w:themeColor="background2" w:themeShade="1A"/>
          <w:szCs w:val="32"/>
        </w:rPr>
        <w:t>学校“爱车先锋”职教义工服务队自2010年成立以来，先后被评为青岛市青年文明号、青岛市优秀志愿服务团队。“爱车先锋”职教义工服务队以“弘扬义工服务精神，发挥学生专业优势，实现服务与被服务双赢”为理念，将专业技能和爱心奉献有机结合，走进社区、学校、军营，提供汽车日常维护知识咨询、故障诊断及排除、空调滤芯清洁等服务，共计服务社会车辆200余台，600多人次参与其中，服务的足迹遍布岛城20余个社区、10余所学校、6支驻青部队等。</w:t>
      </w:r>
    </w:p>
    <w:p>
      <w:pPr>
        <w:numPr>
          <w:ilvl w:val="0"/>
          <w:numId w:val="1"/>
        </w:numPr>
        <w:spacing w:line="500" w:lineRule="exact"/>
        <w:ind w:firstLine="672" w:firstLineChars="200"/>
        <w:rPr>
          <w:rFonts w:ascii="楷体" w:hAnsi="楷体" w:eastAsia="楷体" w:cs="楷体"/>
          <w:color w:val="171717" w:themeColor="background2" w:themeShade="1A"/>
          <w:szCs w:val="32"/>
        </w:rPr>
      </w:pPr>
      <w:r>
        <w:rPr>
          <w:rFonts w:hint="eastAsia" w:ascii="楷体" w:hAnsi="楷体" w:eastAsia="楷体" w:cs="楷体"/>
          <w:color w:val="171717" w:themeColor="background2" w:themeShade="1A"/>
          <w:szCs w:val="32"/>
        </w:rPr>
        <w:t>存在的问题及改进方向</w:t>
      </w:r>
    </w:p>
    <w:p>
      <w:pPr>
        <w:spacing w:line="500" w:lineRule="exact"/>
        <w:ind w:firstLine="672" w:firstLineChars="200"/>
        <w:rPr>
          <w:rFonts w:hint="eastAsia" w:ascii="仿宋_GB2312" w:hAnsi="微软雅黑" w:eastAsia="仿宋_GB2312"/>
          <w:color w:val="171717" w:themeColor="background2" w:themeShade="1A"/>
          <w:szCs w:val="32"/>
        </w:rPr>
      </w:pPr>
      <w:r>
        <w:rPr>
          <w:rFonts w:hint="eastAsia" w:ascii="仿宋_GB2312" w:hAnsi="微软雅黑" w:eastAsia="仿宋_GB2312"/>
          <w:color w:val="171717" w:themeColor="background2" w:themeShade="1A"/>
          <w:szCs w:val="32"/>
          <w:lang w:val="en-US" w:eastAsia="zh-CN"/>
        </w:rPr>
        <w:t>1.</w:t>
      </w:r>
      <w:r>
        <w:rPr>
          <w:rFonts w:hint="eastAsia" w:ascii="仿宋_GB2312" w:hAnsi="微软雅黑" w:eastAsia="仿宋_GB2312"/>
          <w:color w:val="171717" w:themeColor="background2" w:themeShade="1A"/>
          <w:szCs w:val="32"/>
        </w:rPr>
        <w:t>现代学校制度建设还需要进一步深化。对原有制度的废改立工作需要随着现代学校制度建设的深入进一步强化。</w:t>
      </w:r>
    </w:p>
    <w:p>
      <w:pPr>
        <w:spacing w:line="500" w:lineRule="exact"/>
        <w:ind w:firstLine="672" w:firstLineChars="200"/>
        <w:rPr>
          <w:rFonts w:hint="eastAsia" w:ascii="仿宋_GB2312" w:hAnsi="微软雅黑" w:eastAsia="仿宋_GB2312"/>
          <w:color w:val="171717" w:themeColor="background2" w:themeShade="1A"/>
          <w:szCs w:val="32"/>
        </w:rPr>
      </w:pPr>
      <w:r>
        <w:rPr>
          <w:rFonts w:hint="eastAsia" w:ascii="仿宋_GB2312" w:hAnsi="微软雅黑" w:eastAsia="仿宋_GB2312"/>
          <w:color w:val="171717" w:themeColor="background2" w:themeShade="1A"/>
          <w:szCs w:val="32"/>
          <w:lang w:val="en-US" w:eastAsia="zh-CN"/>
        </w:rPr>
        <w:t>2.</w:t>
      </w:r>
      <w:r>
        <w:rPr>
          <w:rFonts w:hint="eastAsia" w:ascii="仿宋_GB2312" w:hAnsi="微软雅黑" w:eastAsia="仿宋_GB2312"/>
          <w:color w:val="171717" w:themeColor="background2" w:themeShade="1A"/>
          <w:szCs w:val="32"/>
        </w:rPr>
        <w:t>教职工参与现代学校制度建设的积极性还不够高，规则意识还不够强。参与学校事务对主动性还需要进一步增强，履行参与、监督、建设的能力还需要进一步提高。</w:t>
      </w:r>
    </w:p>
    <w:p>
      <w:pPr>
        <w:spacing w:line="500" w:lineRule="exact"/>
        <w:ind w:firstLine="672" w:firstLineChars="200"/>
        <w:rPr>
          <w:rFonts w:hint="eastAsia" w:ascii="仿宋_GB2312" w:hAnsi="微软雅黑" w:eastAsia="仿宋_GB2312"/>
          <w:color w:val="171717" w:themeColor="background2" w:themeShade="1A"/>
          <w:szCs w:val="32"/>
        </w:rPr>
      </w:pPr>
      <w:r>
        <w:rPr>
          <w:rFonts w:hint="eastAsia" w:ascii="仿宋_GB2312" w:hAnsi="微软雅黑" w:eastAsia="仿宋_GB2312"/>
          <w:color w:val="171717" w:themeColor="background2" w:themeShade="1A"/>
          <w:szCs w:val="32"/>
        </w:rPr>
        <w:t>3.多元评价还处在尝试探索阶段。各类社会力量参与学校治理的程度还不够深、活动频率偏低，学校与各方的合作还不够紧密。参与方式不够多样。在参与时间、参与类型、参与范围上还有更大的挖掘空间。学校的主动性还不够，资源共享方面还有很多路要走。</w:t>
      </w:r>
    </w:p>
    <w:p>
      <w:pPr>
        <w:spacing w:line="500" w:lineRule="exact"/>
        <w:ind w:firstLine="672" w:firstLineChars="200"/>
        <w:rPr>
          <w:rFonts w:hint="eastAsia" w:ascii="仿宋_GB2312" w:hAnsi="微软雅黑" w:eastAsia="仿宋_GB2312"/>
          <w:color w:val="171717" w:themeColor="background2" w:themeShade="1A"/>
          <w:szCs w:val="32"/>
        </w:rPr>
      </w:pPr>
    </w:p>
    <w:p>
      <w:pPr>
        <w:spacing w:line="500" w:lineRule="exact"/>
        <w:ind w:firstLine="672" w:firstLineChars="200"/>
        <w:rPr>
          <w:rFonts w:ascii="仿宋_GB2312" w:eastAsia="仿宋_GB2312"/>
          <w:color w:val="171717" w:themeColor="background2" w:themeShade="1A"/>
          <w:szCs w:val="32"/>
        </w:rPr>
      </w:pPr>
      <w:r>
        <w:rPr>
          <w:rFonts w:hint="eastAsia" w:ascii="仿宋_GB2312" w:hAnsi="微软雅黑" w:eastAsia="仿宋_GB2312"/>
          <w:color w:val="171717" w:themeColor="background2" w:themeShade="1A"/>
          <w:szCs w:val="32"/>
        </w:rPr>
        <w:t xml:space="preserve">           </w:t>
      </w:r>
      <w:bookmarkStart w:id="0" w:name="_GoBack"/>
      <w:bookmarkEnd w:id="0"/>
    </w:p>
    <w:p>
      <w:pPr>
        <w:ind w:firstLine="672" w:firstLineChars="200"/>
        <w:jc w:val="right"/>
        <w:rPr>
          <w:rFonts w:hint="eastAsia" w:ascii="仿宋" w:hAnsi="仿宋" w:eastAsia="仿宋" w:cs="仿宋"/>
          <w:bCs/>
          <w:color w:val="171717" w:themeColor="background2" w:themeShade="1A"/>
          <w:szCs w:val="32"/>
        </w:rPr>
      </w:pPr>
      <w:r>
        <w:rPr>
          <w:rFonts w:hint="eastAsia" w:ascii="仿宋" w:hAnsi="仿宋" w:eastAsia="仿宋" w:cs="仿宋"/>
          <w:bCs/>
          <w:color w:val="171717" w:themeColor="background2" w:themeShade="1A"/>
          <w:szCs w:val="32"/>
        </w:rPr>
        <w:t xml:space="preserve">              青岛交通职业学校</w:t>
      </w:r>
    </w:p>
    <w:p>
      <w:pPr>
        <w:ind w:firstLine="672" w:firstLineChars="200"/>
        <w:jc w:val="right"/>
        <w:rPr>
          <w:rFonts w:ascii="仿宋" w:hAnsi="仿宋" w:eastAsia="仿宋" w:cs="仿宋"/>
          <w:bCs/>
          <w:color w:val="171717" w:themeColor="background2" w:themeShade="1A"/>
          <w:szCs w:val="32"/>
        </w:rPr>
      </w:pPr>
      <w:r>
        <w:rPr>
          <w:rFonts w:hint="eastAsia" w:ascii="仿宋" w:hAnsi="仿宋" w:eastAsia="仿宋" w:cs="仿宋"/>
          <w:bCs/>
          <w:color w:val="171717" w:themeColor="background2" w:themeShade="1A"/>
          <w:szCs w:val="32"/>
        </w:rPr>
        <w:t>2019年6月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855482"/>
    <w:multiLevelType w:val="singleLevel"/>
    <w:tmpl w:val="CF855482"/>
    <w:lvl w:ilvl="0" w:tentative="0">
      <w:start w:val="1"/>
      <w:numFmt w:val="chineseCounting"/>
      <w:suff w:val="nothing"/>
      <w:lvlText w:val="%1、"/>
      <w:lvlJc w:val="left"/>
      <w:rPr>
        <w:rFonts w:hint="eastAsia"/>
      </w:rPr>
    </w:lvl>
  </w:abstractNum>
  <w:abstractNum w:abstractNumId="1">
    <w:nsid w:val="D00C5C59"/>
    <w:multiLevelType w:val="singleLevel"/>
    <w:tmpl w:val="D00C5C5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1A37D70"/>
    <w:rsid w:val="00025275"/>
    <w:rsid w:val="000E1818"/>
    <w:rsid w:val="001020BE"/>
    <w:rsid w:val="00111F85"/>
    <w:rsid w:val="001774F4"/>
    <w:rsid w:val="002F5793"/>
    <w:rsid w:val="003805A9"/>
    <w:rsid w:val="00383201"/>
    <w:rsid w:val="003D0C4A"/>
    <w:rsid w:val="004B3B5A"/>
    <w:rsid w:val="004C015A"/>
    <w:rsid w:val="004F60DD"/>
    <w:rsid w:val="00576069"/>
    <w:rsid w:val="00586F72"/>
    <w:rsid w:val="0059509A"/>
    <w:rsid w:val="005A0FFA"/>
    <w:rsid w:val="00604228"/>
    <w:rsid w:val="006147A6"/>
    <w:rsid w:val="006535B7"/>
    <w:rsid w:val="006638E2"/>
    <w:rsid w:val="006A17D6"/>
    <w:rsid w:val="007A4556"/>
    <w:rsid w:val="007C3B29"/>
    <w:rsid w:val="008145DE"/>
    <w:rsid w:val="00850B74"/>
    <w:rsid w:val="008B44AF"/>
    <w:rsid w:val="008F1F70"/>
    <w:rsid w:val="00911044"/>
    <w:rsid w:val="009F6D7A"/>
    <w:rsid w:val="00A62770"/>
    <w:rsid w:val="00A912BC"/>
    <w:rsid w:val="00AF163B"/>
    <w:rsid w:val="00BF36DC"/>
    <w:rsid w:val="00E53896"/>
    <w:rsid w:val="00E757E8"/>
    <w:rsid w:val="00F6125D"/>
    <w:rsid w:val="074B2527"/>
    <w:rsid w:val="21806181"/>
    <w:rsid w:val="355731B3"/>
    <w:rsid w:val="3BEA7745"/>
    <w:rsid w:val="46CF1295"/>
    <w:rsid w:val="4C3B2444"/>
    <w:rsid w:val="4EF10284"/>
    <w:rsid w:val="59B52B68"/>
    <w:rsid w:val="5F114ACF"/>
    <w:rsid w:val="6D535020"/>
    <w:rsid w:val="71A37D70"/>
    <w:rsid w:val="72D917C1"/>
    <w:rsid w:val="7DF66D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楷体_GB2312" w:cs="Times New Roman"/>
      <w:spacing w:val="8"/>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0"/>
    <w:qFormat/>
    <w:uiPriority w:val="0"/>
    <w:rPr>
      <w:rFonts w:ascii="宋体" w:eastAsia="宋体"/>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character" w:styleId="8">
    <w:name w:val="Strong"/>
    <w:basedOn w:val="7"/>
    <w:qFormat/>
    <w:uiPriority w:val="22"/>
    <w:rPr>
      <w:b/>
      <w:bCs/>
    </w:rPr>
  </w:style>
  <w:style w:type="paragraph" w:customStyle="1" w:styleId="9">
    <w:name w:val="_Style 4"/>
    <w:basedOn w:val="2"/>
    <w:qFormat/>
    <w:uiPriority w:val="0"/>
    <w:pPr>
      <w:shd w:val="clear" w:color="auto" w:fill="000080"/>
      <w:spacing w:line="436" w:lineRule="exact"/>
      <w:ind w:left="357"/>
      <w:jc w:val="left"/>
      <w:textAlignment w:val="auto"/>
      <w:outlineLvl w:val="3"/>
    </w:pPr>
    <w:rPr>
      <w:rFonts w:ascii="Times New Roman"/>
      <w:spacing w:val="0"/>
      <w:kern w:val="2"/>
      <w:sz w:val="21"/>
      <w:szCs w:val="20"/>
    </w:rPr>
  </w:style>
  <w:style w:type="character" w:customStyle="1" w:styleId="10">
    <w:name w:val="文档结构图 Char"/>
    <w:basedOn w:val="7"/>
    <w:link w:val="2"/>
    <w:uiPriority w:val="0"/>
    <w:rPr>
      <w:rFonts w:ascii="宋体"/>
      <w:spacing w:val="8"/>
      <w:sz w:val="18"/>
      <w:szCs w:val="18"/>
    </w:rPr>
  </w:style>
  <w:style w:type="paragraph" w:customStyle="1" w:styleId="11">
    <w:name w:val="_Style 10"/>
    <w:basedOn w:val="1"/>
    <w:uiPriority w:val="0"/>
    <w:pPr>
      <w:adjustRightInd/>
      <w:spacing w:line="240" w:lineRule="auto"/>
      <w:textAlignment w:val="auto"/>
    </w:pPr>
    <w:rPr>
      <w:rFonts w:ascii="宋体" w:hAnsi="宋体" w:eastAsia="宋体" w:cs="Courier New"/>
      <w:spacing w:val="0"/>
      <w:kern w:val="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F7719C-BFC7-4089-9EDE-398510BB4ADB}">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12</Pages>
  <Words>1100</Words>
  <Characters>6271</Characters>
  <Lines>52</Lines>
  <Paragraphs>14</Paragraphs>
  <TotalTime>0</TotalTime>
  <ScaleCrop>false</ScaleCrop>
  <LinksUpToDate>false</LinksUpToDate>
  <CharactersWithSpaces>7357</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2018-04-02T01:17:00Z</dcterms:created>
  <dc:creator>老九人</dc:creator>
  <cp:lastModifiedBy>Lenovo</cp:lastModifiedBy>
  <cp:lastPrinted>2018-04-02T04:01:00Z</cp:lastPrinted>
  <dcterms:modified xsi:type="dcterms:W3CDTF">2019-07-01T03:43:51Z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